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6603E2" w:rsidRDefault="008D2E81">
      <w:pPr>
        <w:spacing w:after="44" w:line="240" w:lineRule="auto"/>
        <w:jc w:val="right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REQUERIMENTO PARA DECLARAÇÃO DE CONFORMIDADE COM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ind w:left="1754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AS LEIS E REGULAMENTOS DO MUNICÍPIO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44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DOCUMENTOS: </w:t>
      </w:r>
    </w:p>
    <w:p w:rsidR="006603E2" w:rsidRDefault="008D2E81">
      <w:pPr>
        <w:spacing w:after="38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>Ofício/Requerimento em papel timbrado do empreendedor ou da consultoria contratada, à Divisão</w:t>
      </w:r>
      <w:r>
        <w:rPr>
          <w:rFonts w:ascii="Times New Roman" w:eastAsia="Times New Roman" w:hAnsi="Times New Roman" w:cs="Times New Roman"/>
          <w:sz w:val="26"/>
        </w:rPr>
        <w:t xml:space="preserve"> de Meio Ambiente, contendo telefone e e-ma</w:t>
      </w:r>
      <w:r>
        <w:rPr>
          <w:rFonts w:ascii="Times New Roman" w:eastAsia="Times New Roman" w:hAnsi="Times New Roman" w:cs="Times New Roman"/>
          <w:sz w:val="26"/>
        </w:rPr>
        <w:t xml:space="preserve">il para contato; 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>Procuração caso o requerente seja representante do empreendimento (</w:t>
      </w:r>
      <w:r>
        <w:rPr>
          <w:rFonts w:ascii="Times New Roman" w:eastAsia="Times New Roman" w:hAnsi="Times New Roman" w:cs="Times New Roman"/>
          <w:b/>
          <w:sz w:val="26"/>
        </w:rPr>
        <w:t>MODELO</w:t>
      </w:r>
      <w:r>
        <w:rPr>
          <w:rFonts w:ascii="Times New Roman" w:eastAsia="Times New Roman" w:hAnsi="Times New Roman" w:cs="Times New Roman"/>
          <w:sz w:val="26"/>
        </w:rPr>
        <w:t xml:space="preserve">);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Pessoa Física: Cópia do RG, CPF ou CNH do requerente;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Pessoa Jurídica: Cópia do CNPJ e Cópia do Contrato Social;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>Imóvel Rural: Cópia do CAR e Cópia da matrícu</w:t>
      </w:r>
      <w:r>
        <w:rPr>
          <w:rFonts w:ascii="Times New Roman" w:eastAsia="Times New Roman" w:hAnsi="Times New Roman" w:cs="Times New Roman"/>
          <w:sz w:val="26"/>
        </w:rPr>
        <w:t xml:space="preserve">la do imóvel atualizada; </w:t>
      </w:r>
    </w:p>
    <w:p w:rsidR="006603E2" w:rsidRDefault="008D2E81">
      <w:pPr>
        <w:numPr>
          <w:ilvl w:val="0"/>
          <w:numId w:val="1"/>
        </w:numPr>
        <w:spacing w:after="47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FCE – Formulário de Caracterização do empreendimento: </w:t>
      </w:r>
      <w:r>
        <w:rPr>
          <w:rFonts w:ascii="Times New Roman" w:eastAsia="Times New Roman" w:hAnsi="Times New Roman" w:cs="Times New Roman"/>
          <w:b/>
          <w:sz w:val="26"/>
        </w:rPr>
        <w:t>TELA 1, TELA 2, TELA 3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e TELA correspondente ao enquadramento do licenciamento (TELA 4 ou TELA 5 ou TELA 6 ou TELA 10), </w:t>
      </w:r>
      <w:r>
        <w:rPr>
          <w:rFonts w:ascii="Times New Roman" w:eastAsia="Times New Roman" w:hAnsi="Times New Roman" w:cs="Times New Roman"/>
          <w:sz w:val="26"/>
        </w:rPr>
        <w:t>constando a modalidade, classe, critério locacional, ati</w:t>
      </w:r>
      <w:r>
        <w:rPr>
          <w:rFonts w:ascii="Times New Roman" w:eastAsia="Times New Roman" w:hAnsi="Times New Roman" w:cs="Times New Roman"/>
          <w:sz w:val="26"/>
        </w:rPr>
        <w:t xml:space="preserve">vidade a licenciar. Encaminhar o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polígono da área do empreendimento (KML)</w:t>
      </w:r>
      <w:r>
        <w:rPr>
          <w:rFonts w:ascii="Times New Roman" w:eastAsia="Times New Roman" w:hAnsi="Times New Roman" w:cs="Times New Roman"/>
          <w:sz w:val="26"/>
        </w:rPr>
        <w:t xml:space="preserve"> para o e-mail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(quando solicitado).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80" w:line="240" w:lineRule="auto"/>
      </w:pPr>
      <w: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6603E2"/>
    <w:rsid w:val="008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2</cp:revision>
  <cp:lastPrinted>2022-04-04T21:20:00Z</cp:lastPrinted>
  <dcterms:created xsi:type="dcterms:W3CDTF">2022-04-04T21:20:00Z</dcterms:created>
  <dcterms:modified xsi:type="dcterms:W3CDTF">2022-04-04T21:20:00Z</dcterms:modified>
</cp:coreProperties>
</file>